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jc w:val="both"/>
        <w:rPr>
          <w:rFonts w:ascii="Cambria" w:cs="Cambria" w:eastAsia="Cambria" w:hAnsi="Cambria"/>
          <w:b w:val="1"/>
          <w:bCs w:val="1"/>
          <w:sz w:val="22"/>
          <w:szCs w:val="22"/>
        </w:rPr>
      </w:pPr>
      <w:bookmarkStart w:colFirst="0" w:colLast="0" w:name="_q4i4kapq4ooe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0"/>
                <w:szCs w:val="20"/>
                <w:highlight w:val="yellow"/>
                <w:rtl w:val="0"/>
              </w:rPr>
              <w:t xml:space="preserve">Data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0"/>
                <w:szCs w:val="20"/>
                <w:highlight w:val="yellow"/>
                <w:rtl w:val="0"/>
              </w:rPr>
              <w:t xml:space="preserve">Docente</w:t>
            </w:r>
          </w:p>
        </w:tc>
      </w:tr>
    </w:tbl>
    <w:p w:rsidR="00000000" w:rsidDel="00000000" w:rsidP="00000000" w:rsidRDefault="00000000" w:rsidRPr="00000000" w14:paraId="00000006">
      <w:pPr>
        <w:pStyle w:val="Heading1"/>
        <w:keepNext w:val="0"/>
        <w:keepLines w:val="0"/>
        <w:spacing w:before="480" w:line="240" w:lineRule="auto"/>
        <w:jc w:val="both"/>
        <w:rPr>
          <w:rFonts w:ascii="Trebuchet MS" w:cs="Trebuchet MS" w:eastAsia="Trebuchet MS" w:hAnsi="Trebuchet MS"/>
          <w:b w:val="1"/>
          <w:bCs w:val="1"/>
          <w:sz w:val="22"/>
          <w:szCs w:val="22"/>
          <w:highlight w:val="yellow"/>
        </w:rPr>
      </w:pPr>
      <w:bookmarkStart w:colFirst="0" w:colLast="0" w:name="_279x5wl5hw3" w:id="1"/>
      <w:bookmarkEnd w:id="1"/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2"/>
          <w:szCs w:val="22"/>
          <w:rtl w:val="0"/>
        </w:rPr>
        <w:t xml:space="preserve">Oggetto: Decreto di Nomina - Docente Accompagnatrice –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2"/>
          <w:szCs w:val="22"/>
          <w:highlight w:val="yellow"/>
          <w:rtl w:val="0"/>
        </w:rPr>
        <w:t xml:space="preserve"> Viaggio - Periodo: </w:t>
      </w:r>
    </w:p>
    <w:p w:rsidR="00000000" w:rsidDel="00000000" w:rsidP="00000000" w:rsidRDefault="00000000" w:rsidRPr="00000000" w14:paraId="00000007">
      <w:pPr>
        <w:pStyle w:val="Heading1"/>
        <w:keepNext w:val="0"/>
        <w:keepLines w:val="0"/>
        <w:spacing w:before="480" w:line="240" w:lineRule="auto"/>
        <w:jc w:val="center"/>
        <w:rPr>
          <w:rFonts w:ascii="Trebuchet MS" w:cs="Trebuchet MS" w:eastAsia="Trebuchet MS" w:hAnsi="Trebuchet MS"/>
          <w:b w:val="1"/>
          <w:bCs w:val="1"/>
          <w:sz w:val="22"/>
          <w:szCs w:val="22"/>
        </w:rPr>
      </w:pPr>
      <w:bookmarkStart w:colFirst="0" w:colLast="0" w:name="_fpdmuofhf2qz" w:id="2"/>
      <w:bookmarkEnd w:id="2"/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2"/>
          <w:szCs w:val="22"/>
          <w:rtl w:val="0"/>
        </w:rPr>
        <w:t xml:space="preserve">IL DIRIGENTE SCOLASTICO</w:t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spacing w:before="280" w:line="240" w:lineRule="auto"/>
        <w:rPr>
          <w:rFonts w:ascii="Trebuchet MS" w:cs="Trebuchet MS" w:eastAsia="Trebuchet MS" w:hAnsi="Trebuchet MS"/>
          <w:b w:val="1"/>
          <w:bCs w:val="1"/>
          <w:color w:val="000000"/>
          <w:sz w:val="22"/>
          <w:szCs w:val="22"/>
        </w:rPr>
      </w:pPr>
      <w:bookmarkStart w:colFirst="0" w:colLast="0" w:name="_x0pa66syb8z6" w:id="3"/>
      <w:bookmarkEnd w:id="3"/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000000"/>
          <w:sz w:val="22"/>
          <w:szCs w:val="22"/>
          <w:rtl w:val="0"/>
        </w:rPr>
        <w:t xml:space="preserve">VISTI: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240" w:line="240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gli artt. 2043 e 2048 del Codice Civile, che disciplinano rispettivamente la responsabilità extracontrattuale per fatto illecito e la responsabilità dei precettori e maestri d’arte per i danni cagionati dagli allievi nel tempo in cui sono sotto la loro vigilanza, delineando il quadro giuridico di riferimento della cosiddetta </w:t>
      </w:r>
      <w:r w:rsidDel="00000000" w:rsidR="00000000" w:rsidRPr="00000000">
        <w:rPr>
          <w:rFonts w:ascii="Trebuchet MS" w:cs="Trebuchet MS" w:eastAsia="Trebuchet MS" w:hAnsi="Trebuchet MS"/>
          <w:i w:val="1"/>
          <w:iCs w:val="1"/>
          <w:rtl w:val="0"/>
        </w:rPr>
        <w:t xml:space="preserve">culpa in vigilando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;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jc w:val="both"/>
        <w:rPr>
          <w:rFonts w:ascii="Trebuchet MS" w:cs="Trebuchet MS" w:eastAsia="Trebuchet MS" w:hAnsi="Trebuchet MS"/>
          <w:u w:val="none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l’art. 2047 del Codice Civile, in materia di responsabilità per fatto illecito delle persone incapaci;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jc w:val="both"/>
        <w:rPr>
          <w:rFonts w:ascii="Trebuchet MS" w:cs="Trebuchet MS" w:eastAsia="Trebuchet MS" w:hAnsi="Trebuchet MS"/>
          <w:u w:val="none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l’art. 61 della Legge n. 312/1980, relativo alla responsabilità patrimoniale del personale della scuola;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la Circolare Ministeriale n. 291/1992, che detta disposizioni permanenti in materia di viaggi di istruzione e visite guidate, qualificando tali attività come parte integrante dell’offerta formativa e definendo compiti, responsabilità e criteri organizzativi;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la Nota Ministeriale n. 623/1996, recante ulteriori indicazioni applicative in ordine alla sicurezza, alla vigilanza e alla corretta gestione delle attività fuori sede;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il Decreto Legislativo 297/1994, in particolare gli artt. 5, 6, 7 e 10, che individuano le competenze degli Organi Collegiali in materia di programmazione didattica e organizzazione delle attività integrative;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il Decreto del Presidente della Repubblica 275/1999, che riconosce alle istituzioni scolastiche autonomia organizzativa e didattica, consentendo la progettazione di percorsi formativi anche in ambito internazionale;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la Legge 107/2015, che valorizza l’ampliamento dell’offerta formativa e l’internazionalizzazione dei percorsi scolastici;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la Nota Ministeriale n. 1385/2009 e la Nota Ministeriale n. 3630/2010, che ribadiscono la natura didattica dei viaggi e l’obbligo di adeguata vigilanza;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il Decreto del Presidente della Repubblica 235/2007, in materia di diritti, doveri e corresponsabilità educativa;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la Nota Ministeriale n. 674/2016;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240" w:before="0" w:beforeAutospacing="0" w:line="240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il CCNL Comparto Istruzione e Ricerca 2019-2021, che disciplina gli obblighi di servizio del personale docente;</w:t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before="280" w:line="240" w:lineRule="auto"/>
        <w:rPr>
          <w:rFonts w:ascii="Trebuchet MS" w:cs="Trebuchet MS" w:eastAsia="Trebuchet MS" w:hAnsi="Trebuchet MS"/>
          <w:b w:val="1"/>
          <w:bCs w:val="1"/>
          <w:color w:val="000000"/>
          <w:sz w:val="22"/>
          <w:szCs w:val="22"/>
        </w:rPr>
      </w:pPr>
      <w:bookmarkStart w:colFirst="0" w:colLast="0" w:name="_eh4kcn2y6khk" w:id="4"/>
      <w:bookmarkEnd w:id="4"/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000000"/>
          <w:sz w:val="22"/>
          <w:szCs w:val="22"/>
          <w:rtl w:val="0"/>
        </w:rPr>
        <w:t xml:space="preserve">CONSIDERATO: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afterAutospacing="0" w:before="240" w:line="240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che il PTOF d’Istituto prevede la realizzazione del viaggio in oggetto quale attività fondante dell’offerta formativa, finalizzata all’integrazione culturale, all’approfondimento disciplinare e allo sviluppo di competenze trasversali;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afterAutospacing="0" w:before="0" w:beforeAutospacing="0" w:line="240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che il viaggio in oggetto costituisce attività didattica a tutti gli effetti, coerente con gli obiettivi educativi e formativi dell’Istituto,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240" w:before="0" w:beforeAutospacing="0" w:line="240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che si rende necessario formalizzare l’incarico ai docenti accompagnatori, con affidamento nominativo degli studenti ai fini della vigilanza e della tutela degli stessi per tutta la durata dell’attività;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keepNext w:val="0"/>
        <w:keepLines w:val="0"/>
        <w:spacing w:after="80" w:line="240" w:lineRule="auto"/>
        <w:jc w:val="center"/>
        <w:rPr>
          <w:rFonts w:ascii="Cambria" w:cs="Cambria" w:eastAsia="Cambria" w:hAnsi="Cambria"/>
          <w:b w:val="1"/>
          <w:bCs w:val="1"/>
          <w:sz w:val="22"/>
          <w:szCs w:val="22"/>
        </w:rPr>
      </w:pPr>
      <w:bookmarkStart w:colFirst="0" w:colLast="0" w:name="_pcoe48sti2x" w:id="5"/>
      <w:bookmarkEnd w:id="5"/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DECRETA</w:t>
      </w:r>
    </w:p>
    <w:p w:rsidR="00000000" w:rsidDel="00000000" w:rsidP="00000000" w:rsidRDefault="00000000" w:rsidRPr="00000000" w14:paraId="0000001A">
      <w:pPr>
        <w:spacing w:after="240" w:before="240" w:line="240" w:lineRule="auto"/>
        <w:ind w:firstLine="72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highlight w:val="yellow"/>
          <w:rtl w:val="0"/>
        </w:rPr>
        <w:t xml:space="preserve">Il prof X 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è nominato Docente accompagnatore per il viaggio in oggetto.</w:t>
      </w:r>
    </w:p>
    <w:p w:rsidR="00000000" w:rsidDel="00000000" w:rsidP="00000000" w:rsidRDefault="00000000" w:rsidRPr="00000000" w14:paraId="0000001B">
      <w:pPr>
        <w:pStyle w:val="Heading3"/>
        <w:keepNext w:val="0"/>
        <w:keepLines w:val="0"/>
        <w:spacing w:before="280" w:line="240" w:lineRule="auto"/>
        <w:ind w:firstLine="720"/>
        <w:jc w:val="both"/>
        <w:rPr>
          <w:rFonts w:ascii="Trebuchet MS" w:cs="Trebuchet MS" w:eastAsia="Trebuchet MS" w:hAnsi="Trebuchet MS"/>
          <w:color w:val="000000"/>
          <w:sz w:val="22"/>
          <w:szCs w:val="22"/>
        </w:rPr>
      </w:pPr>
      <w:bookmarkStart w:colFirst="0" w:colLast="0" w:name="_lkinx1b22zxt" w:id="6"/>
      <w:bookmarkEnd w:id="6"/>
      <w:r w:rsidDel="00000000" w:rsidR="00000000" w:rsidRPr="00000000">
        <w:rPr>
          <w:rFonts w:ascii="Trebuchet MS" w:cs="Trebuchet MS" w:eastAsia="Trebuchet MS" w:hAnsi="Trebuchet MS"/>
          <w:color w:val="000000"/>
          <w:sz w:val="22"/>
          <w:szCs w:val="22"/>
          <w:rtl w:val="0"/>
        </w:rPr>
        <w:t xml:space="preserve">Sono direttamente affidati al docente le seguenti studentesse e i seguenti studenti</w:t>
      </w:r>
    </w:p>
    <w:p w:rsidR="00000000" w:rsidDel="00000000" w:rsidP="00000000" w:rsidRDefault="00000000" w:rsidRPr="00000000" w14:paraId="0000001C">
      <w:pPr>
        <w:spacing w:after="240" w:before="240" w:line="240" w:lineRule="auto"/>
        <w:ind w:left="0" w:firstLine="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(da 1 a max 15/16)</w:t>
      </w:r>
    </w:p>
    <w:p w:rsidR="00000000" w:rsidDel="00000000" w:rsidP="00000000" w:rsidRDefault="00000000" w:rsidRPr="00000000" w14:paraId="0000001D">
      <w:pPr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DISPOSIZIONI IN MATERIA DI VIGILANZA</w:t>
      </w:r>
    </w:p>
    <w:p w:rsidR="00000000" w:rsidDel="00000000" w:rsidP="00000000" w:rsidRDefault="00000000" w:rsidRPr="00000000" w14:paraId="0000001F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Il/La docente esercita la vigilanza educativa, organizzativa e disciplinare sulle studentesse e gli studenti affidati per tutta la durata del viaggio, degli spostamenti, delle attività didattiche e delle escursioni programmate, nel rispetto degli obblighi connessi all’incarico di accompagnatore, che costituisce a tutti gli effetti attività di servizio.</w:t>
      </w:r>
    </w:p>
    <w:p w:rsidR="00000000" w:rsidDel="00000000" w:rsidP="00000000" w:rsidRDefault="00000000" w:rsidRPr="00000000" w14:paraId="00000020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Tale vigilanza deve essere esercitata </w:t>
      </w:r>
      <w:r w:rsidDel="00000000" w:rsidR="00000000" w:rsidRPr="00000000">
        <w:rPr>
          <w:rFonts w:ascii="Trebuchet MS" w:cs="Trebuchet MS" w:eastAsia="Trebuchet MS" w:hAnsi="Trebuchet MS"/>
          <w:u w:val="single"/>
          <w:rtl w:val="0"/>
        </w:rPr>
        <w:t xml:space="preserve">secondo criteri di diligenza professionale, prudenza, proporzionalità e ragionevolezza,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in relazione all’età delle studentesse e degli studenti, al loro grado di maturazione e al contesto operativo, ai sensi degli artt. 2043, 2047 e 2048 del Codice Civile.</w:t>
      </w:r>
    </w:p>
    <w:p w:rsidR="00000000" w:rsidDel="00000000" w:rsidP="00000000" w:rsidRDefault="00000000" w:rsidRPr="00000000" w14:paraId="00000021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In particolare, nei confronti degli studenti minorenni, la vigilanza deve essere adeguatamente modulata, tenuto conto della presunzione di non piena capacità di autonoma gestione delle proprie azioni, fino a configurarsi, nei casi necessari, come forma di assistenza diretta e continuativa. </w:t>
      </w:r>
    </w:p>
    <w:p w:rsidR="00000000" w:rsidDel="00000000" w:rsidP="00000000" w:rsidRDefault="00000000" w:rsidRPr="00000000" w14:paraId="00000022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Il dovere di vigilanza si estende per tutto il tempo in cui le studentesse e gli studenti sono affidati ai docenti accompagnatori e non può essere interrotto, né possono essere autorizzate situazioni di libertà, o concessi spazi autonomia non organizzata o non previamente disciplinata, permanendo in ogni caso la responsabilità dei docenti stessi.</w:t>
      </w:r>
    </w:p>
    <w:p w:rsidR="00000000" w:rsidDel="00000000" w:rsidP="00000000" w:rsidRDefault="00000000" w:rsidRPr="00000000" w14:paraId="00000023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Durante il soggiorno presso strutture ricettive, in particolare nelle ore serali e notturne, la vigilanza esercitata dai docenti accompagnatori assume carattere affievolito e si configura come vigilanza organizzativa e di coordinamento, in quanto gli stessi non condividono gli spazi di pernottamento con gli studenti e permangono nelle proprie camere per il riposo, ferma restando la loro reperibilità e la disponibilità ad intervenire tempestivamente in caso di necessità, sulla base delle misure organizzative preventivamente predisposte (assegnazione delle camere, indicazioni comportamentali, definizione degli orari e delle modalità di contatto).</w:t>
      </w:r>
    </w:p>
    <w:p w:rsidR="00000000" w:rsidDel="00000000" w:rsidP="00000000" w:rsidRDefault="00000000" w:rsidRPr="00000000" w14:paraId="00000024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La responsabilità del docente accompagnatore, sia civile sia penale, è personale e diretta; pertanto, eventuali condotte connotate da negligenza, imprudenza, imperizia o inosservanza di norme e disposizioni organizzative, qualora causalmente rilevanti nella produzione di eventi dannosi, possono integrare gli estremi della responsabilità per </w:t>
      </w:r>
      <w:r w:rsidDel="00000000" w:rsidR="00000000" w:rsidRPr="00000000">
        <w:rPr>
          <w:rFonts w:ascii="Trebuchet MS" w:cs="Trebuchet MS" w:eastAsia="Trebuchet MS" w:hAnsi="Trebuchet MS"/>
          <w:i w:val="1"/>
          <w:iCs w:val="1"/>
          <w:rtl w:val="0"/>
        </w:rPr>
        <w:t xml:space="preserve">culpa in vigilando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.</w:t>
      </w:r>
    </w:p>
    <w:p w:rsidR="00000000" w:rsidDel="00000000" w:rsidP="00000000" w:rsidRDefault="00000000" w:rsidRPr="00000000" w14:paraId="00000025">
      <w:pPr>
        <w:spacing w:after="0" w:before="0" w:line="240" w:lineRule="auto"/>
        <w:ind w:left="0" w:firstLine="0"/>
        <w:jc w:val="left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before="0" w:line="240" w:lineRule="auto"/>
        <w:ind w:firstLine="720"/>
        <w:jc w:val="right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before="0" w:line="240" w:lineRule="auto"/>
        <w:ind w:firstLine="720"/>
        <w:jc w:val="right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before="0" w:line="240" w:lineRule="auto"/>
        <w:ind w:firstLine="720"/>
        <w:jc w:val="right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Il Dirigente Scolastico</w:t>
      </w:r>
    </w:p>
    <w:p w:rsidR="00000000" w:rsidDel="00000000" w:rsidP="00000000" w:rsidRDefault="00000000" w:rsidRPr="00000000" w14:paraId="00000029">
      <w:pPr>
        <w:spacing w:after="0" w:before="0" w:line="240" w:lineRule="auto"/>
        <w:ind w:firstLine="720"/>
        <w:jc w:val="right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Ambrogio Morrone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jc w:val="right"/>
      <w:rPr>
        <w:sz w:val="18"/>
        <w:szCs w:val="18"/>
      </w:rPr>
    </w:pPr>
    <w:r w:rsidDel="00000000" w:rsidR="00000000" w:rsidRPr="00000000">
      <w:rPr>
        <w:rFonts w:ascii="Cambria" w:cs="Cambria" w:eastAsia="Cambria" w:hAnsi="Cambria"/>
        <w:b w:val="1"/>
        <w:bCs w:val="1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tabs>
        <w:tab w:val="center" w:leader="none" w:pos="4680"/>
        <w:tab w:val="right" w:leader="none" w:pos="9360"/>
      </w:tabs>
      <w:spacing w:line="240" w:lineRule="auto"/>
      <w:rPr>
        <w:rFonts w:ascii="Cambria" w:cs="Cambria" w:eastAsia="Cambria" w:hAnsi="Cambria"/>
      </w:rPr>
    </w:pPr>
    <w:r w:rsidDel="00000000" w:rsidR="00000000" w:rsidRPr="00000000">
      <w:rPr>
        <w:rtl w:val="0"/>
      </w:rPr>
    </w:r>
  </w:p>
  <w:tbl>
    <w:tblPr>
      <w:tblStyle w:val="Table2"/>
      <w:tblW w:w="9029.0" w:type="dxa"/>
      <w:jc w:val="lef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1805.8"/>
      <w:gridCol w:w="1805.8"/>
      <w:gridCol w:w="1805.8"/>
      <w:gridCol w:w="1805.8"/>
      <w:gridCol w:w="1805.8"/>
      <w:tblGridChange w:id="0">
        <w:tblGrid>
          <w:gridCol w:w="1805.8"/>
          <w:gridCol w:w="1805.8"/>
          <w:gridCol w:w="1805.8"/>
          <w:gridCol w:w="1805.8"/>
          <w:gridCol w:w="1805.8"/>
        </w:tblGrid>
      </w:tblGridChange>
    </w:tblGrid>
    <w:tr>
      <w:trPr>
        <w:cantSplit w:val="0"/>
        <w:tblHeader w:val="0"/>
      </w:trPr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C">
          <w:pPr>
            <w:spacing w:after="200" w:line="276" w:lineRule="auto"/>
            <w:jc w:val="center"/>
            <w:rPr>
              <w:rFonts w:ascii="Cambria" w:cs="Cambria" w:eastAsia="Cambria" w:hAnsi="Cambria"/>
            </w:rPr>
          </w:pPr>
          <w:r w:rsidDel="00000000" w:rsidR="00000000" w:rsidRPr="00000000">
            <w:rPr>
              <w:rFonts w:ascii="Cambria" w:cs="Cambria" w:eastAsia="Cambria" w:hAnsi="Cambria"/>
            </w:rPr>
            <w:drawing>
              <wp:inline distB="0" distT="0" distL="114300" distR="114300">
                <wp:extent cx="914400" cy="685800"/>
                <wp:effectExtent b="0" l="0" r="0" t="0"/>
                <wp:docPr id="3" name="image4.jpg"/>
                <a:graphic>
                  <a:graphicData uri="http://schemas.openxmlformats.org/drawingml/2006/picture">
                    <pic:pic>
                      <pic:nvPicPr>
                        <pic:cNvPr id="0" name="image4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6858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D">
          <w:pPr>
            <w:spacing w:after="200" w:line="276" w:lineRule="auto"/>
            <w:jc w:val="center"/>
            <w:rPr>
              <w:rFonts w:ascii="Cambria" w:cs="Cambria" w:eastAsia="Cambria" w:hAnsi="Cambria"/>
            </w:rPr>
          </w:pPr>
          <w:r w:rsidDel="00000000" w:rsidR="00000000" w:rsidRPr="00000000">
            <w:rPr>
              <w:rFonts w:ascii="Cambria" w:cs="Cambria" w:eastAsia="Cambria" w:hAnsi="Cambria"/>
            </w:rPr>
            <w:drawing>
              <wp:inline distB="0" distT="0" distL="114300" distR="114300">
                <wp:extent cx="914400" cy="914400"/>
                <wp:effectExtent b="0" l="0" r="0" t="0"/>
                <wp:docPr id="2" name="image3.jpg"/>
                <a:graphic>
                  <a:graphicData uri="http://schemas.openxmlformats.org/drawingml/2006/picture">
                    <pic:pic>
                      <pic:nvPicPr>
                        <pic:cNvPr id="0" name="image3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9144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E">
          <w:pPr>
            <w:spacing w:after="200" w:line="276" w:lineRule="auto"/>
            <w:jc w:val="center"/>
            <w:rPr>
              <w:rFonts w:ascii="Cambria" w:cs="Cambria" w:eastAsia="Cambria" w:hAnsi="Cambria"/>
            </w:rPr>
          </w:pPr>
          <w:r w:rsidDel="00000000" w:rsidR="00000000" w:rsidRPr="00000000">
            <w:rPr>
              <w:rFonts w:ascii="Cambria" w:cs="Cambria" w:eastAsia="Cambria" w:hAnsi="Cambria"/>
            </w:rPr>
            <w:drawing>
              <wp:inline distB="0" distT="0" distL="114300" distR="114300">
                <wp:extent cx="914400" cy="609600"/>
                <wp:effectExtent b="0" l="0" r="0" t="0"/>
                <wp:docPr id="5" name="image5.jpg"/>
                <a:graphic>
                  <a:graphicData uri="http://schemas.openxmlformats.org/drawingml/2006/picture">
                    <pic:pic>
                      <pic:nvPicPr>
                        <pic:cNvPr id="0" name="image5.jp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6096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F">
          <w:pPr>
            <w:spacing w:after="200" w:line="276" w:lineRule="auto"/>
            <w:jc w:val="center"/>
            <w:rPr>
              <w:rFonts w:ascii="Cambria" w:cs="Cambria" w:eastAsia="Cambria" w:hAnsi="Cambria"/>
            </w:rPr>
          </w:pPr>
          <w:r w:rsidDel="00000000" w:rsidR="00000000" w:rsidRPr="00000000">
            <w:rPr>
              <w:rFonts w:ascii="Cambria" w:cs="Cambria" w:eastAsia="Cambria" w:hAnsi="Cambria"/>
            </w:rPr>
            <w:drawing>
              <wp:inline distB="0" distT="0" distL="114300" distR="114300">
                <wp:extent cx="914400" cy="910336"/>
                <wp:effectExtent b="0" l="0" r="0" 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4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910336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30">
          <w:pPr>
            <w:widowControl w:val="0"/>
            <w:spacing w:line="240" w:lineRule="auto"/>
            <w:rPr>
              <w:rFonts w:ascii="Cambria" w:cs="Cambria" w:eastAsia="Cambria" w:hAnsi="Cambria"/>
            </w:rPr>
          </w:pPr>
          <w:r w:rsidDel="00000000" w:rsidR="00000000" w:rsidRPr="00000000">
            <w:rPr>
              <w:rFonts w:ascii="Cambria" w:cs="Cambria" w:eastAsia="Cambria" w:hAnsi="Cambria"/>
            </w:rPr>
            <w:drawing>
              <wp:inline distB="114300" distT="114300" distL="114300" distR="114300">
                <wp:extent cx="1009650" cy="1016000"/>
                <wp:effectExtent b="0" l="0" r="0" t="0"/>
                <wp:docPr id="4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5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650" cy="10160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1">
    <w:pPr>
      <w:tabs>
        <w:tab w:val="center" w:leader="none" w:pos="4680"/>
        <w:tab w:val="right" w:leader="none" w:pos="9360"/>
      </w:tabs>
      <w:spacing w:line="240" w:lineRule="auto"/>
      <w:rPr>
        <w:rFonts w:ascii="Cambria" w:cs="Cambria" w:eastAsia="Cambria" w:hAnsi="Cambria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spacing w:after="200" w:line="276" w:lineRule="auto"/>
      <w:jc w:val="center"/>
      <w:rPr>
        <w:rFonts w:ascii="Cambria" w:cs="Cambria" w:eastAsia="Cambria" w:hAnsi="Cambria"/>
        <w:color w:val="741b47"/>
      </w:rPr>
    </w:pPr>
    <w:r w:rsidDel="00000000" w:rsidR="00000000" w:rsidRPr="00000000">
      <w:rPr>
        <w:rFonts w:ascii="Cambria" w:cs="Cambria" w:eastAsia="Cambria" w:hAnsi="Cambria"/>
        <w:color w:val="741b47"/>
        <w:rtl w:val="0"/>
      </w:rPr>
      <w:t xml:space="preserve">━━━━━━━━━━━━━━━━━━━━━━━━━━━━━━━━━━━━━━━</w:t>
    </w:r>
  </w:p>
  <w:p w:rsidR="00000000" w:rsidDel="00000000" w:rsidP="00000000" w:rsidRDefault="00000000" w:rsidRPr="00000000" w14:paraId="00000033">
    <w:pPr>
      <w:spacing w:line="240" w:lineRule="auto"/>
      <w:jc w:val="center"/>
      <w:rPr>
        <w:rFonts w:ascii="Cambria" w:cs="Cambria" w:eastAsia="Cambria" w:hAnsi="Cambria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4a235a"/>
        <w:sz w:val="24"/>
        <w:szCs w:val="24"/>
        <w:rtl w:val="0"/>
      </w:rPr>
      <w:t xml:space="preserve">MINISTERO DELL’ISTRUZIONE E DEL MERITO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spacing w:line="240" w:lineRule="auto"/>
      <w:jc w:val="center"/>
      <w:rPr>
        <w:rFonts w:ascii="Cambria" w:cs="Cambria" w:eastAsia="Cambria" w:hAnsi="Cambria"/>
      </w:rPr>
    </w:pPr>
    <w:r w:rsidDel="00000000" w:rsidR="00000000" w:rsidRPr="00000000">
      <w:rPr>
        <w:rFonts w:ascii="Cambria" w:cs="Cambria" w:eastAsia="Cambria" w:hAnsi="Cambria"/>
        <w:rtl w:val="0"/>
      </w:rPr>
      <w:t xml:space="preserve">Ufficio Scolastico Regionale per il Lazio</w:t>
    </w:r>
  </w:p>
  <w:p w:rsidR="00000000" w:rsidDel="00000000" w:rsidP="00000000" w:rsidRDefault="00000000" w:rsidRPr="00000000" w14:paraId="00000035">
    <w:pPr>
      <w:spacing w:line="240" w:lineRule="auto"/>
      <w:jc w:val="center"/>
      <w:rPr>
        <w:rFonts w:ascii="Cambria" w:cs="Cambria" w:eastAsia="Cambria" w:hAnsi="Cambria"/>
        <w:color w:val="a64d79"/>
        <w:sz w:val="18"/>
        <w:szCs w:val="18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a64d79"/>
        <w:sz w:val="24"/>
        <w:szCs w:val="24"/>
        <w:rtl w:val="0"/>
      </w:rPr>
      <w:t xml:space="preserve">I.T.I.S. “G. VALLAURI”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spacing w:line="240" w:lineRule="auto"/>
      <w:jc w:val="center"/>
      <w:rPr>
        <w:rFonts w:ascii="Cambria" w:cs="Cambria" w:eastAsia="Cambria" w:hAnsi="Cambria"/>
        <w:b w:val="1"/>
        <w:bCs w:val="1"/>
        <w:color w:val="741b47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741b47"/>
        <w:sz w:val="20"/>
        <w:szCs w:val="20"/>
        <w:rtl w:val="0"/>
      </w:rPr>
      <w:t xml:space="preserve">Elettronica ed Elettrotecnica – Informatica e Telecomunicazioni – Liceo Scienze Applicate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spacing w:line="240" w:lineRule="auto"/>
      <w:jc w:val="center"/>
      <w:rPr>
        <w:rFonts w:ascii="Cambria" w:cs="Cambria" w:eastAsia="Cambria" w:hAnsi="Cambria"/>
        <w:sz w:val="18"/>
        <w:szCs w:val="18"/>
      </w:rPr>
    </w:pPr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Via Salvo D’Acquisto, 43 – 00049 Velletri (RM) – Distretto scolastico 39</w:t>
      <w:br w:type="textWrapping"/>
      <w:t xml:space="preserve">Codice Fiscale: 87004020589 – Codice Meccanografico: RMTF200009</w:t>
      <w:br w:type="textWrapping"/>
      <w:t xml:space="preserve">Sito web: </w:t>
    </w:r>
    <w:hyperlink r:id="rId6">
      <w:r w:rsidDel="00000000" w:rsidR="00000000" w:rsidRPr="00000000">
        <w:rPr>
          <w:rFonts w:ascii="Cambria" w:cs="Cambria" w:eastAsia="Cambria" w:hAnsi="Cambria"/>
          <w:color w:val="1155cc"/>
          <w:sz w:val="18"/>
          <w:szCs w:val="18"/>
          <w:u w:val="single"/>
          <w:rtl w:val="0"/>
        </w:rPr>
        <w:t xml:space="preserve">http://www.itisvallauri.edu.it</w:t>
      </w:r>
    </w:hyperlink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 – Email: </w:t>
    </w:r>
    <w:hyperlink r:id="rId7">
      <w:r w:rsidDel="00000000" w:rsidR="00000000" w:rsidRPr="00000000">
        <w:rPr>
          <w:rFonts w:ascii="Cambria" w:cs="Cambria" w:eastAsia="Cambria" w:hAnsi="Cambria"/>
          <w:color w:val="1155cc"/>
          <w:sz w:val="18"/>
          <w:szCs w:val="18"/>
          <w:u w:val="single"/>
          <w:rtl w:val="0"/>
        </w:rPr>
        <w:t xml:space="preserve">rmtf200009@istruzione.it</w:t>
      </w:r>
    </w:hyperlink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  </w:t>
    </w:r>
  </w:p>
  <w:p w:rsidR="00000000" w:rsidDel="00000000" w:rsidP="00000000" w:rsidRDefault="00000000" w:rsidRPr="00000000" w14:paraId="00000038">
    <w:pPr>
      <w:spacing w:line="240" w:lineRule="auto"/>
      <w:jc w:val="center"/>
      <w:rPr/>
    </w:pPr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P.E.C.:  </w:t>
    </w:r>
    <w:hyperlink r:id="rId8">
      <w:r w:rsidDel="00000000" w:rsidR="00000000" w:rsidRPr="00000000">
        <w:rPr>
          <w:rFonts w:ascii="Cambria" w:cs="Cambria" w:eastAsia="Cambria" w:hAnsi="Cambria"/>
          <w:color w:val="1155cc"/>
          <w:sz w:val="18"/>
          <w:szCs w:val="18"/>
          <w:u w:val="single"/>
          <w:rtl w:val="0"/>
        </w:rPr>
        <w:t xml:space="preserve">rmtf200009@pec.istruzione.it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Relationship Id="rId2" Type="http://schemas.openxmlformats.org/officeDocument/2006/relationships/image" Target="media/image3.jpg"/><Relationship Id="rId3" Type="http://schemas.openxmlformats.org/officeDocument/2006/relationships/image" Target="media/image5.jpg"/><Relationship Id="rId4" Type="http://schemas.openxmlformats.org/officeDocument/2006/relationships/image" Target="media/image2.png"/><Relationship Id="rId5" Type="http://schemas.openxmlformats.org/officeDocument/2006/relationships/image" Target="media/image1.jpg"/><Relationship Id="rId6" Type="http://schemas.openxmlformats.org/officeDocument/2006/relationships/hyperlink" Target="http://www.itisvallauri.edu.it" TargetMode="External"/><Relationship Id="rId7" Type="http://schemas.openxmlformats.org/officeDocument/2006/relationships/hyperlink" Target="mailto:rmtf200009@istruzione.it" TargetMode="External"/><Relationship Id="rId8" Type="http://schemas.openxmlformats.org/officeDocument/2006/relationships/hyperlink" Target="mailto:rmtf200009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