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bookmarkStart w:colFirst="0" w:colLast="0" w:name="_q4i4kapq4ooe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Data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0"/>
                <w:szCs w:val="20"/>
                <w:highlight w:val="yellow"/>
                <w:rtl w:val="0"/>
              </w:rPr>
              <w:t xml:space="preserve">Docente</w:t>
            </w:r>
          </w:p>
        </w:tc>
      </w:tr>
    </w:tbl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="240" w:lineRule="auto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  <w:highlight w:val="yellow"/>
        </w:rPr>
      </w:pPr>
      <w:bookmarkStart w:colFirst="0" w:colLast="0" w:name="_279x5wl5hw3" w:id="1"/>
      <w:bookmarkEnd w:id="1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Oggetto: Decreto di Nomina - Docente Accompagnatrice –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highlight w:val="yellow"/>
          <w:rtl w:val="0"/>
        </w:rPr>
        <w:t xml:space="preserve"> Viaggio - Periodo: 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="240" w:lineRule="auto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bookmarkStart w:colFirst="0" w:colLast="0" w:name="_fpdmuofhf2qz" w:id="2"/>
      <w:bookmarkEnd w:id="2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IL DIRIGENTE SCOLASTICO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240" w:lineRule="auto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x0pa66syb8z6" w:id="3"/>
      <w:bookmarkEnd w:id="3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VISTI: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gli artt. 2043 e 2048 del Codice Civile, che disciplinano rispettivamente la responsabilità extracontrattuale per fatto illecito e la responsabilità dei precettori e maestri d’arte per i danni cagionati dagli allievi nel tempo in cui sono sotto la loro vigilanza, delineando il quadro giuridico di riferimento della cosiddetta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culpa in vigilando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l’art. 2047 del Codice Civile, in materia di responsabilità per fatto illecito delle persone incapaci;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l’art. 61 della Legge n. 312/1980, relativo alla responsabilità patrimoniale del personale della scuola;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Circolare Ministeriale n. 291/1992, che detta disposizioni permanenti in materia di viaggi di istruzione e visite guidate, qualificando tali attività come parte integrante dell’offerta formativa e definendo compiti, responsabilità e criteri organizzativi;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623/1996, recante ulteriori indicazioni applicative in ordine alla sicurezza, alla vigilanza e alla corretta gestione delle attività fuori sede;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Legislativo 297/1994, in particolare gli artt. 5, 6, 7 e 10, che individuano le competenze degli Organi Collegiali in materia di programmazione didattica e organizzazione delle attività integrative;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del Presidente della Repubblica 275/1999, che riconosce alle istituzioni scolastiche autonomia organizzativa e didattica, consentendo la progettazione di percorsi formativi anche in ambito internazionale;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Legge 107/2015, che valorizza l’ampliamento dell’offerta formativa e l’internazionalizzazione dei percorsi scolastici;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1385/2009 e la Nota Ministeriale n. 3630/2010, che ribadiscono la natura didattica dei viaggi e l’obbligo di adeguata vigilanza;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Decreto del Presidente della Repubblica 235/2007, in materia di diritti, doveri e corresponsabilità educativa;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Nota Ministeriale n. 674/2016;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CCNL Comparto Istruzione e Ricerca 2019-2021, che disciplina gli obblighi di servizio del personale docente;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="240" w:lineRule="auto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eh4kcn2y6khk" w:id="4"/>
      <w:bookmarkEnd w:id="4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CONSIDERATO: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il PTOF d’Istituto prevede la realizzazione del viaggio in oggetto quale attività fondante dell’offerta formativa, finalizzata all’integrazione culturale, all’approfondimento disciplinare e allo sviluppo di competenze trasversali;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il viaggio in oggetto costituisce attività didattica a tutti gli effetti, coerente con gli obiettivi educativi e formativi dell’Istituto,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 si rende necessario formalizzare l’incarico ai docenti accompagnatori, con affidamento nominativo degli studenti ai fini della vigilanza e della tutela degli stessi per tutta la durata dell’attività;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240" w:lineRule="auto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bookmarkStart w:colFirst="0" w:colLast="0" w:name="_pcoe48sti2x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DECRETA</w:t>
      </w:r>
    </w:p>
    <w:p w:rsidR="00000000" w:rsidDel="00000000" w:rsidP="00000000" w:rsidRDefault="00000000" w:rsidRPr="00000000" w14:paraId="0000001A">
      <w:pPr>
        <w:spacing w:after="240" w:before="240" w:line="24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highlight w:val="yellow"/>
          <w:rtl w:val="0"/>
        </w:rPr>
        <w:t xml:space="preserve">Il prof X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è nominato Docente accompagnatore per il viaggio in oggetto.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240" w:lineRule="auto"/>
        <w:ind w:firstLine="720"/>
        <w:jc w:val="both"/>
        <w:rPr>
          <w:rFonts w:ascii="Trebuchet MS" w:cs="Trebuchet MS" w:eastAsia="Trebuchet MS" w:hAnsi="Trebuchet MS"/>
          <w:color w:val="000000"/>
          <w:sz w:val="22"/>
          <w:szCs w:val="22"/>
        </w:rPr>
      </w:pPr>
      <w:bookmarkStart w:colFirst="0" w:colLast="0" w:name="_lkinx1b22zxt" w:id="6"/>
      <w:bookmarkEnd w:id="6"/>
      <w:r w:rsidDel="00000000" w:rsidR="00000000" w:rsidRPr="00000000">
        <w:rPr>
          <w:rFonts w:ascii="Trebuchet MS" w:cs="Trebuchet MS" w:eastAsia="Trebuchet MS" w:hAnsi="Trebuchet MS"/>
          <w:color w:val="000000"/>
          <w:sz w:val="22"/>
          <w:szCs w:val="22"/>
          <w:rtl w:val="0"/>
        </w:rPr>
        <w:t xml:space="preserve">Sono direttamente affidati al docente le seguenti studentesse e i seguenti studenti</w:t>
      </w:r>
    </w:p>
    <w:p w:rsidR="00000000" w:rsidDel="00000000" w:rsidP="00000000" w:rsidRDefault="00000000" w:rsidRPr="00000000" w14:paraId="0000001C">
      <w:pPr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(da 1 a max 15/16)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DISPOSIZIONI IN MATERIA DI VIGILANZA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Il/La docente esercita la vigilanza educativa, organizzativa e disciplinare sulle studentesse e gli studenti affidati per tutta la durata del viaggio, degli spostamenti, delle attività didattiche e delle escursioni programmate, nel rispetto degli obblighi connessi all’incarico di accompagnatore, che costituisce a tutti gli effetti attività di servizio.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Tale vigilanza deve essere esercitata </w:t>
      </w:r>
      <w:r w:rsidDel="00000000" w:rsidR="00000000" w:rsidRPr="00000000">
        <w:rPr>
          <w:rFonts w:ascii="Trebuchet MS" w:cs="Trebuchet MS" w:eastAsia="Trebuchet MS" w:hAnsi="Trebuchet MS"/>
          <w:u w:val="single"/>
          <w:rtl w:val="0"/>
        </w:rPr>
        <w:t xml:space="preserve">secondo criteri di diligenza professionale, prudenza, proporzionalità e ragionevolezza,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in relazione all’età delle studentesse e degli studenti, al loro grado di maturazione e al contesto operativo, ai sensi degli artt. 2043, 2047 e 2048 del Codice Civile.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 particolare, nei confronti degli studenti minorenni, la vigilanza deve essere adeguatamente modulata, tenuto conto della presunzione di non piena capacità di autonoma gestione delle proprie azioni, fino a configurarsi, nei casi necessari, come forma di assistenza diretta e continuativa. 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dovere di vigilanza si estende per tutto il tempo in cui le studentesse e gli studenti sono affidati ai docenti accompagnatori e non può essere interrotto, né possono essere autorizzate situazioni di libertà, o concessi spazi autonomia non organizzata o non previamente disciplinata, permanendo in ogni caso la responsabilità dei docenti stessi.</w:t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Durante il soggiorno presso strutture ricettive, in particolare nelle ore serali e notturne, la vigilanza esercitata dai docenti accompagnatori assume carattere affievolito e si configura come vigilanza organizzativa e di coordinamento, in quanto gli stessi non condividono gli spazi di pernottamento con gli studenti e permangono nelle proprie camere per il riposo, ferma restando la loro reperibilità e la disponibilità ad intervenire tempestivamente in caso di necessità, sulla base delle misure organizzative preventivamente predisposte (assegnazione delle camere, indicazioni comportamentali, definizione degli orari e delle modalità di contatto).</w:t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responsabilità del docente accompagnatore, sia civile sia penale, è personale e diretta; pertanto, eventuali condotte connotate da negligenza, imprudenza, imperizia o inosservanza di norme e disposizioni organizzative, qualora causalmente rilevanti nella produzione di eventi dannosi, possono integrare gli estremi della responsabilità per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culpa in vigilando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0" w:firstLine="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Il Dirigente Scolastico</w:t>
      </w:r>
    </w:p>
    <w:p w:rsidR="00000000" w:rsidDel="00000000" w:rsidP="00000000" w:rsidRDefault="00000000" w:rsidRPr="00000000" w14:paraId="00000029">
      <w:pPr>
        <w:spacing w:after="0" w:before="0" w:line="240" w:lineRule="auto"/>
        <w:ind w:firstLine="720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Ambrogio Morrone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2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.8"/>
      <w:gridCol w:w="1805.8"/>
      <w:gridCol w:w="1805.8"/>
      <w:gridCol w:w="1805.8"/>
      <w:gridCol w:w="1805.8"/>
      <w:tblGridChange w:id="0">
        <w:tblGrid>
          <w:gridCol w:w="1805.8"/>
          <w:gridCol w:w="1805.8"/>
          <w:gridCol w:w="1805.8"/>
          <w:gridCol w:w="1805.8"/>
          <w:gridCol w:w="1805.8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2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5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0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1009650" cy="1016000"/>
                <wp:effectExtent b="0" l="0" r="0" t="0"/>
                <wp:docPr id="4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8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5.jpg"/><Relationship Id="rId3" Type="http://schemas.openxmlformats.org/officeDocument/2006/relationships/image" Target="media/image4.jpg"/><Relationship Id="rId4" Type="http://schemas.openxmlformats.org/officeDocument/2006/relationships/image" Target="media/image1.png"/><Relationship Id="rId5" Type="http://schemas.openxmlformats.org/officeDocument/2006/relationships/image" Target="media/image3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